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9108"/>
      </w:tblGrid>
      <w:tr w:rsidR="00C9285A" w:rsidTr="007B0A59">
        <w:trPr>
          <w:trHeight w:val="1170"/>
        </w:trPr>
        <w:tc>
          <w:tcPr>
            <w:tcW w:w="1908" w:type="dxa"/>
          </w:tcPr>
          <w:p w:rsidR="00C9285A" w:rsidRDefault="00C9285A" w:rsidP="007B0A59">
            <w:pPr>
              <w:pStyle w:val="Title"/>
              <w:spacing w:before="0" w:after="0"/>
              <w:rPr>
                <w:rFonts w:ascii="Garamond" w:hAnsi="Garamond"/>
                <w:sz w:val="28"/>
              </w:rPr>
            </w:pPr>
            <w:r w:rsidRPr="00C9285A">
              <w:rPr>
                <w:rFonts w:ascii="Garamond" w:hAnsi="Garamond"/>
                <w:noProof/>
                <w:sz w:val="28"/>
              </w:rPr>
              <w:drawing>
                <wp:inline distT="0" distB="0" distL="0" distR="0">
                  <wp:extent cx="760719" cy="727663"/>
                  <wp:effectExtent l="0" t="0" r="190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395" t="16253" r="61343" b="6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74" cy="7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vAlign w:val="center"/>
          </w:tcPr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</w:rPr>
            </w:pPr>
            <w:r w:rsidRPr="007B0A59">
              <w:rPr>
                <w:rFonts w:ascii="Garamond" w:hAnsi="Garamond"/>
              </w:rPr>
              <w:t>City of Dayton, Kentucky</w:t>
            </w:r>
          </w:p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514 Sixth Avenue, Dayton, Kentucky 41074</w:t>
            </w:r>
          </w:p>
          <w:p w:rsidR="00242EBF" w:rsidRPr="007B0A59" w:rsidRDefault="00ED6690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Phone (859) 491-160</w:t>
            </w:r>
            <w:r w:rsidR="00242EBF" w:rsidRPr="007B0A59">
              <w:rPr>
                <w:rFonts w:ascii="Garamond" w:hAnsi="Garamond"/>
                <w:b w:val="0"/>
                <w:sz w:val="22"/>
              </w:rPr>
              <w:t>0   Fax: (859) 491-3538</w:t>
            </w:r>
          </w:p>
          <w:p w:rsidR="00242EBF" w:rsidRDefault="00242EBF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28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Website: www.DaytonKY.com</w:t>
            </w:r>
          </w:p>
        </w:tc>
      </w:tr>
    </w:tbl>
    <w:p w:rsidR="00FD4BCB" w:rsidRPr="00242EBF" w:rsidRDefault="00FD4BCB" w:rsidP="005D04B9">
      <w:pPr>
        <w:pStyle w:val="Title"/>
        <w:rPr>
          <w:rFonts w:ascii="Garamond" w:hAnsi="Garamond"/>
          <w:sz w:val="2"/>
        </w:rPr>
      </w:pPr>
    </w:p>
    <w:p w:rsidR="00B81CC8" w:rsidRDefault="004E0E59" w:rsidP="00242EBF">
      <w:pPr>
        <w:pStyle w:val="Title"/>
        <w:spacing w:before="0" w:after="0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Business Returns – Additional Information</w:t>
      </w:r>
    </w:p>
    <w:p w:rsidR="00182822" w:rsidRPr="000A43A5" w:rsidRDefault="001B2A2D" w:rsidP="001B2A2D">
      <w:pPr>
        <w:pStyle w:val="Title"/>
        <w:spacing w:before="0" w:after="40"/>
        <w:rPr>
          <w:rFonts w:ascii="Garamond" w:hAnsi="Garamond"/>
          <w:sz w:val="18"/>
        </w:rPr>
      </w:pPr>
      <w:proofErr w:type="gramStart"/>
      <w:r>
        <w:rPr>
          <w:rFonts w:ascii="Garamond" w:hAnsi="Garamond"/>
          <w:sz w:val="24"/>
        </w:rPr>
        <w:t xml:space="preserve">Due </w:t>
      </w:r>
      <w:r w:rsidR="00EB009F">
        <w:rPr>
          <w:rFonts w:ascii="Garamond" w:hAnsi="Garamond"/>
          <w:sz w:val="24"/>
        </w:rPr>
        <w:t>by April 15</w:t>
      </w:r>
      <w:r w:rsidR="00EB009F" w:rsidRPr="00EB009F">
        <w:rPr>
          <w:rFonts w:ascii="Garamond" w:hAnsi="Garamond"/>
          <w:sz w:val="24"/>
          <w:vertAlign w:val="superscript"/>
        </w:rPr>
        <w:t>th</w:t>
      </w:r>
      <w:r w:rsidR="00EB009F">
        <w:rPr>
          <w:rFonts w:ascii="Garamond" w:hAnsi="Garamond"/>
          <w:sz w:val="24"/>
        </w:rPr>
        <w:t xml:space="preserve"> of the 4</w:t>
      </w:r>
      <w:r w:rsidR="00EB009F" w:rsidRPr="00EB009F">
        <w:rPr>
          <w:rFonts w:ascii="Garamond" w:hAnsi="Garamond"/>
          <w:sz w:val="24"/>
          <w:vertAlign w:val="superscript"/>
        </w:rPr>
        <w:t>th</w:t>
      </w:r>
      <w:r w:rsidR="00EB009F">
        <w:rPr>
          <w:rFonts w:ascii="Garamond" w:hAnsi="Garamond"/>
          <w:sz w:val="24"/>
        </w:rPr>
        <w:t xml:space="preserve"> Month Following the Close of the Taxable Year.</w:t>
      </w:r>
      <w:proofErr w:type="gramEnd"/>
    </w:p>
    <w:tbl>
      <w:tblPr>
        <w:tblStyle w:val="TableGrid"/>
        <w:tblW w:w="5006" w:type="pct"/>
        <w:tblCellMar>
          <w:left w:w="115" w:type="dxa"/>
          <w:right w:w="115" w:type="dxa"/>
        </w:tblCellMar>
        <w:tblLook w:val="01E0"/>
      </w:tblPr>
      <w:tblGrid>
        <w:gridCol w:w="11332"/>
      </w:tblGrid>
      <w:tr w:rsidR="00D15A93" w:rsidRPr="00B81CC8" w:rsidTr="00BB1ACB">
        <w:trPr>
          <w:cantSplit/>
          <w:trHeight w:hRule="exact" w:val="448"/>
        </w:trPr>
        <w:tc>
          <w:tcPr>
            <w:tcW w:w="5000" w:type="pct"/>
            <w:shd w:val="clear" w:color="auto" w:fill="006600"/>
            <w:vAlign w:val="center"/>
          </w:tcPr>
          <w:p w:rsidR="00D15A93" w:rsidRPr="00037A37" w:rsidRDefault="004E0E59" w:rsidP="003016B6">
            <w:pPr>
              <w:pStyle w:val="Heading1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 w:val="24"/>
                <w:szCs w:val="20"/>
              </w:rPr>
              <w:t>I. ADDITIONAL INFORMATION</w:t>
            </w:r>
          </w:p>
        </w:tc>
      </w:tr>
      <w:tr w:rsidR="00E7778A" w:rsidRPr="00B81CC8" w:rsidTr="00E7778A">
        <w:trPr>
          <w:cantSplit/>
          <w:trHeight w:val="7532"/>
        </w:trPr>
        <w:tc>
          <w:tcPr>
            <w:tcW w:w="5000" w:type="pct"/>
          </w:tcPr>
          <w:p w:rsidR="00E7778A" w:rsidRDefault="00E7778A" w:rsidP="004E0E59">
            <w:pPr>
              <w:rPr>
                <w:rFonts w:ascii="Garamond" w:hAnsi="Garamond"/>
                <w:sz w:val="24"/>
                <w:szCs w:val="20"/>
              </w:rPr>
            </w:pPr>
          </w:p>
          <w:p w:rsidR="004E0E59" w:rsidRDefault="004E0E59" w:rsidP="004E0E59">
            <w:pPr>
              <w:jc w:val="both"/>
              <w:rPr>
                <w:rFonts w:ascii="Garamond" w:hAnsi="Garamond"/>
                <w:sz w:val="24"/>
                <w:szCs w:val="20"/>
              </w:rPr>
            </w:pPr>
            <w:r w:rsidRPr="004E0E59">
              <w:rPr>
                <w:rFonts w:ascii="Garamond" w:hAnsi="Garamond"/>
                <w:sz w:val="24"/>
                <w:szCs w:val="20"/>
              </w:rPr>
              <w:t xml:space="preserve">The occupational tax and business license fees are imposed for the privilege of engaging in any business, profession, occupation, or trade within </w:t>
            </w:r>
            <w:r>
              <w:rPr>
                <w:rFonts w:ascii="Garamond" w:hAnsi="Garamond"/>
                <w:sz w:val="24"/>
                <w:szCs w:val="20"/>
              </w:rPr>
              <w:t>the City of Dayton</w:t>
            </w:r>
            <w:r w:rsidRPr="004E0E59">
              <w:rPr>
                <w:rFonts w:ascii="Garamond" w:hAnsi="Garamond"/>
                <w:sz w:val="24"/>
                <w:szCs w:val="20"/>
              </w:rPr>
              <w:t xml:space="preserve"> regardless of the legal residence of the party so engaged.</w:t>
            </w:r>
          </w:p>
          <w:p w:rsidR="004E0E59" w:rsidRPr="004E0E59" w:rsidRDefault="004E0E59" w:rsidP="004E0E59">
            <w:pPr>
              <w:jc w:val="both"/>
              <w:rPr>
                <w:rFonts w:ascii="Garamond" w:hAnsi="Garamond"/>
                <w:sz w:val="24"/>
                <w:szCs w:val="20"/>
              </w:rPr>
            </w:pPr>
          </w:p>
          <w:p w:rsidR="004E0E59" w:rsidRDefault="004E0E59" w:rsidP="004E0E59">
            <w:pPr>
              <w:jc w:val="both"/>
              <w:rPr>
                <w:rFonts w:ascii="Garamond" w:hAnsi="Garamond"/>
                <w:sz w:val="24"/>
                <w:szCs w:val="20"/>
              </w:rPr>
            </w:pPr>
            <w:r w:rsidRPr="004E0E59">
              <w:rPr>
                <w:rFonts w:ascii="Garamond" w:hAnsi="Garamond"/>
                <w:sz w:val="24"/>
                <w:szCs w:val="20"/>
              </w:rPr>
              <w:t xml:space="preserve">The </w:t>
            </w:r>
            <w:r>
              <w:rPr>
                <w:rFonts w:ascii="Garamond" w:hAnsi="Garamond"/>
                <w:sz w:val="24"/>
                <w:szCs w:val="20"/>
              </w:rPr>
              <w:t>City of Dayton Business</w:t>
            </w:r>
            <w:r w:rsidRPr="004E0E59">
              <w:rPr>
                <w:rFonts w:ascii="Garamond" w:hAnsi="Garamond"/>
                <w:sz w:val="24"/>
                <w:szCs w:val="20"/>
              </w:rPr>
              <w:t xml:space="preserve"> Return is for taxpayers who are making sales, performing work or services, owning and operating rental real estate, or otherwise conducting a business, trade, occupation or profession in</w:t>
            </w:r>
            <w:r>
              <w:rPr>
                <w:rFonts w:ascii="Garamond" w:hAnsi="Garamond"/>
                <w:sz w:val="24"/>
                <w:szCs w:val="20"/>
              </w:rPr>
              <w:t xml:space="preserve"> the City of Dayton </w:t>
            </w:r>
            <w:r w:rsidRPr="004E0E59">
              <w:rPr>
                <w:rFonts w:ascii="Garamond" w:hAnsi="Garamond"/>
                <w:sz w:val="24"/>
                <w:szCs w:val="20"/>
              </w:rPr>
              <w:t xml:space="preserve">file and remit occupational taxes and business license fees.  </w:t>
            </w:r>
          </w:p>
          <w:p w:rsidR="0051589F" w:rsidRDefault="0051589F" w:rsidP="004E0E59">
            <w:pPr>
              <w:jc w:val="both"/>
              <w:rPr>
                <w:rFonts w:ascii="Garamond" w:hAnsi="Garamond"/>
                <w:sz w:val="24"/>
                <w:szCs w:val="20"/>
              </w:rPr>
            </w:pPr>
          </w:p>
          <w:p w:rsidR="004E0E59" w:rsidRDefault="0051589F" w:rsidP="004E0E59">
            <w:pPr>
              <w:jc w:val="both"/>
              <w:rPr>
                <w:rFonts w:ascii="Garamond" w:hAnsi="Garamond"/>
                <w:sz w:val="24"/>
                <w:szCs w:val="20"/>
              </w:rPr>
            </w:pPr>
            <w:r w:rsidRPr="0051589F">
              <w:rPr>
                <w:rFonts w:ascii="Garamond" w:hAnsi="Garamond"/>
                <w:b/>
                <w:sz w:val="24"/>
                <w:szCs w:val="20"/>
              </w:rPr>
              <w:t>Who Must File:</w:t>
            </w:r>
            <w:r>
              <w:rPr>
                <w:rFonts w:ascii="Garamond" w:hAnsi="Garamond"/>
                <w:sz w:val="24"/>
                <w:szCs w:val="20"/>
              </w:rPr>
              <w:t xml:space="preserve"> </w:t>
            </w:r>
            <w:r w:rsidRPr="004E0E59">
              <w:rPr>
                <w:rFonts w:ascii="Garamond" w:hAnsi="Garamond"/>
                <w:sz w:val="24"/>
                <w:szCs w:val="20"/>
              </w:rPr>
              <w:t xml:space="preserve">Corporations, partnerships, sole proprietorships, estates and trusts, or other businesses engaged in an occupation, trade, or profession with a business nexus in </w:t>
            </w:r>
            <w:r>
              <w:rPr>
                <w:rFonts w:ascii="Garamond" w:hAnsi="Garamond"/>
                <w:sz w:val="24"/>
                <w:szCs w:val="20"/>
              </w:rPr>
              <w:t>the City of Dayton</w:t>
            </w:r>
            <w:r w:rsidRPr="004E0E59">
              <w:rPr>
                <w:rFonts w:ascii="Garamond" w:hAnsi="Garamond"/>
                <w:sz w:val="24"/>
                <w:szCs w:val="20"/>
              </w:rPr>
              <w:t>, Kentucky</w:t>
            </w:r>
            <w:r>
              <w:rPr>
                <w:rFonts w:ascii="Garamond" w:hAnsi="Garamond"/>
                <w:sz w:val="24"/>
                <w:szCs w:val="20"/>
              </w:rPr>
              <w:t>.</w:t>
            </w:r>
          </w:p>
          <w:p w:rsidR="0051589F" w:rsidRDefault="0051589F" w:rsidP="004E0E59">
            <w:pPr>
              <w:jc w:val="both"/>
              <w:rPr>
                <w:rFonts w:ascii="Garamond" w:hAnsi="Garamond"/>
                <w:sz w:val="24"/>
                <w:szCs w:val="20"/>
              </w:rPr>
            </w:pPr>
          </w:p>
          <w:p w:rsidR="004E0E59" w:rsidRDefault="004E0E59" w:rsidP="004E0E59">
            <w:pPr>
              <w:jc w:val="both"/>
              <w:rPr>
                <w:rFonts w:ascii="Garamond" w:hAnsi="Garamond"/>
                <w:sz w:val="24"/>
                <w:szCs w:val="20"/>
              </w:rPr>
            </w:pPr>
            <w:r w:rsidRPr="004E0E59">
              <w:rPr>
                <w:rFonts w:ascii="Garamond" w:hAnsi="Garamond"/>
                <w:b/>
                <w:sz w:val="24"/>
                <w:szCs w:val="20"/>
              </w:rPr>
              <w:t>Extensions:</w:t>
            </w:r>
            <w:r w:rsidRPr="004E0E59">
              <w:rPr>
                <w:rFonts w:ascii="Garamond" w:hAnsi="Garamond"/>
                <w:sz w:val="24"/>
                <w:szCs w:val="20"/>
              </w:rPr>
              <w:t xml:space="preserve">  If an extension of time for filing is required, a separate extension request to the </w:t>
            </w:r>
            <w:r>
              <w:rPr>
                <w:rFonts w:ascii="Garamond" w:hAnsi="Garamond"/>
                <w:sz w:val="24"/>
                <w:szCs w:val="20"/>
              </w:rPr>
              <w:t>City of Dayton Clerk’s Office</w:t>
            </w:r>
            <w:r w:rsidRPr="004E0E59">
              <w:rPr>
                <w:rFonts w:ascii="Garamond" w:hAnsi="Garamond"/>
                <w:sz w:val="24"/>
                <w:szCs w:val="20"/>
              </w:rPr>
              <w:t xml:space="preserve"> is mandatory in all cases.  </w:t>
            </w:r>
            <w:r>
              <w:rPr>
                <w:rFonts w:ascii="Garamond" w:hAnsi="Garamond"/>
                <w:sz w:val="24"/>
                <w:szCs w:val="20"/>
              </w:rPr>
              <w:t>A</w:t>
            </w:r>
            <w:r w:rsidRPr="004E0E59">
              <w:rPr>
                <w:rFonts w:ascii="Garamond" w:hAnsi="Garamond"/>
                <w:sz w:val="24"/>
                <w:szCs w:val="20"/>
              </w:rPr>
              <w:t xml:space="preserve">ny tax due must be paid with the extension request and the request must be postmarked or hand-delivered to the </w:t>
            </w:r>
            <w:r>
              <w:rPr>
                <w:rFonts w:ascii="Garamond" w:hAnsi="Garamond"/>
                <w:sz w:val="24"/>
                <w:szCs w:val="20"/>
              </w:rPr>
              <w:t>City of Dayton</w:t>
            </w:r>
            <w:r w:rsidRPr="004E0E59">
              <w:rPr>
                <w:rFonts w:ascii="Garamond" w:hAnsi="Garamond"/>
                <w:sz w:val="24"/>
                <w:szCs w:val="20"/>
              </w:rPr>
              <w:t xml:space="preserve"> on or before the original due date.</w:t>
            </w:r>
            <w:r>
              <w:rPr>
                <w:rFonts w:ascii="Garamond" w:hAnsi="Garamond"/>
                <w:sz w:val="24"/>
                <w:szCs w:val="20"/>
              </w:rPr>
              <w:t xml:space="preserve">  </w:t>
            </w:r>
            <w:r w:rsidRPr="004E0E59">
              <w:rPr>
                <w:rFonts w:ascii="Garamond" w:hAnsi="Garamond"/>
                <w:sz w:val="24"/>
                <w:szCs w:val="20"/>
              </w:rPr>
              <w:t xml:space="preserve">If an extension of time for the filing of a return has been granted, any balance of the license fee unpaid by the regular due date bears interest at the rate of twelve percent (12%) per annum. In addition, a late payment penalty of five percent (5%) per month, or fraction of a month (minimum of $25) to a maximum of twenty-five percent (25%) is assessed against any license fee balance unpaid by the regular due date, unless estimated tax payments of at least 90% of the current year's total liability, as finally determined, has been submitted by the original due date of the return.  </w:t>
            </w:r>
          </w:p>
          <w:p w:rsidR="004E0E59" w:rsidRPr="004E0E59" w:rsidRDefault="004E0E59" w:rsidP="004E0E59">
            <w:pPr>
              <w:jc w:val="both"/>
              <w:rPr>
                <w:rFonts w:ascii="Garamond" w:hAnsi="Garamond"/>
                <w:sz w:val="24"/>
                <w:szCs w:val="20"/>
              </w:rPr>
            </w:pPr>
            <w:r w:rsidRPr="004E0E59">
              <w:rPr>
                <w:rFonts w:ascii="Garamond" w:hAnsi="Garamond"/>
                <w:sz w:val="24"/>
                <w:szCs w:val="20"/>
              </w:rPr>
              <w:t xml:space="preserve">  </w:t>
            </w:r>
          </w:p>
          <w:p w:rsidR="004E0E59" w:rsidRPr="004E0E59" w:rsidRDefault="004E0E59" w:rsidP="004E0E59">
            <w:pPr>
              <w:jc w:val="both"/>
              <w:rPr>
                <w:rFonts w:ascii="Garamond" w:hAnsi="Garamond"/>
                <w:sz w:val="24"/>
                <w:szCs w:val="20"/>
              </w:rPr>
            </w:pPr>
            <w:r w:rsidRPr="004E0E59">
              <w:rPr>
                <w:rFonts w:ascii="Garamond" w:hAnsi="Garamond"/>
                <w:b/>
                <w:sz w:val="24"/>
                <w:szCs w:val="20"/>
              </w:rPr>
              <w:t>Failure to File Penalty:</w:t>
            </w:r>
            <w:r w:rsidRPr="004E0E59">
              <w:rPr>
                <w:rFonts w:ascii="Garamond" w:hAnsi="Garamond"/>
                <w:sz w:val="24"/>
                <w:szCs w:val="20"/>
              </w:rPr>
              <w:t xml:space="preserve">  There is a five percent (5%) penalty per month or fraction of a month (minimum of $25) to a maximum of twenty-five percent (25%) for failure to file a tax return by the regular or extended date.    </w:t>
            </w:r>
          </w:p>
          <w:p w:rsidR="004E0E59" w:rsidRDefault="004E0E59" w:rsidP="004E0E59">
            <w:pPr>
              <w:jc w:val="both"/>
              <w:rPr>
                <w:rFonts w:ascii="Garamond" w:hAnsi="Garamond"/>
                <w:sz w:val="24"/>
                <w:szCs w:val="20"/>
              </w:rPr>
            </w:pPr>
          </w:p>
          <w:p w:rsidR="004E0E59" w:rsidRDefault="004E0E59" w:rsidP="004E0E59">
            <w:pPr>
              <w:jc w:val="both"/>
              <w:rPr>
                <w:rFonts w:ascii="Garamond" w:hAnsi="Garamond"/>
                <w:sz w:val="24"/>
                <w:szCs w:val="20"/>
              </w:rPr>
            </w:pPr>
            <w:r w:rsidRPr="004E0E59">
              <w:rPr>
                <w:rFonts w:ascii="Garamond" w:hAnsi="Garamond"/>
                <w:b/>
                <w:sz w:val="24"/>
                <w:szCs w:val="20"/>
              </w:rPr>
              <w:t>Failure to Pay Penalty:</w:t>
            </w:r>
            <w:r w:rsidRPr="004E0E59">
              <w:rPr>
                <w:rFonts w:ascii="Garamond" w:hAnsi="Garamond"/>
                <w:sz w:val="24"/>
                <w:szCs w:val="20"/>
              </w:rPr>
              <w:t xml:space="preserve">  There is a five percent (5%) penalty per month or fraction of a month (minimum of $25) to a maximum of twenty-five percent (25%) for failure to pay or late payment of occupational tax if no extension was filed. If an extension was filed, see the instructions under “Extensions".</w:t>
            </w:r>
          </w:p>
          <w:p w:rsidR="004E0E59" w:rsidRDefault="004E0E59" w:rsidP="004E0E59">
            <w:pPr>
              <w:jc w:val="both"/>
              <w:rPr>
                <w:rFonts w:ascii="Garamond" w:hAnsi="Garamond"/>
                <w:sz w:val="24"/>
                <w:szCs w:val="20"/>
              </w:rPr>
            </w:pPr>
            <w:bookmarkStart w:id="0" w:name="_GoBack"/>
            <w:bookmarkEnd w:id="0"/>
          </w:p>
          <w:p w:rsidR="004E0E59" w:rsidRDefault="004E0E59" w:rsidP="004E0E59">
            <w:pPr>
              <w:jc w:val="both"/>
              <w:rPr>
                <w:rFonts w:ascii="Garamond" w:hAnsi="Garamond"/>
                <w:sz w:val="24"/>
                <w:szCs w:val="20"/>
              </w:rPr>
            </w:pPr>
            <w:r w:rsidRPr="004E0E59">
              <w:rPr>
                <w:rFonts w:ascii="Garamond" w:hAnsi="Garamond"/>
                <w:b/>
                <w:sz w:val="24"/>
                <w:szCs w:val="20"/>
              </w:rPr>
              <w:t>Interest:</w:t>
            </w:r>
            <w:r w:rsidRPr="004E0E59">
              <w:rPr>
                <w:rFonts w:ascii="Garamond" w:hAnsi="Garamond"/>
                <w:sz w:val="24"/>
                <w:szCs w:val="20"/>
              </w:rPr>
              <w:t xml:space="preserve">  Interest is computed at twelve percent (12%) per annum from the original due date until the date of payment.   </w:t>
            </w:r>
          </w:p>
          <w:p w:rsidR="004E0E59" w:rsidRPr="004E0E59" w:rsidRDefault="004E0E59" w:rsidP="004E0E59">
            <w:pPr>
              <w:jc w:val="both"/>
              <w:rPr>
                <w:rFonts w:ascii="Garamond" w:hAnsi="Garamond"/>
                <w:sz w:val="24"/>
                <w:szCs w:val="20"/>
              </w:rPr>
            </w:pPr>
          </w:p>
          <w:p w:rsidR="004E0E59" w:rsidRDefault="004E0E59" w:rsidP="004E0E59">
            <w:pPr>
              <w:jc w:val="both"/>
              <w:rPr>
                <w:rFonts w:ascii="Garamond" w:hAnsi="Garamond"/>
                <w:sz w:val="24"/>
                <w:szCs w:val="20"/>
              </w:rPr>
            </w:pPr>
            <w:r w:rsidRPr="004E0E59">
              <w:rPr>
                <w:rFonts w:ascii="Garamond" w:hAnsi="Garamond"/>
                <w:sz w:val="24"/>
                <w:szCs w:val="20"/>
              </w:rPr>
              <w:t xml:space="preserve"> </w:t>
            </w:r>
            <w:r w:rsidRPr="004E0E59">
              <w:rPr>
                <w:rFonts w:ascii="Garamond" w:hAnsi="Garamond"/>
                <w:b/>
                <w:sz w:val="24"/>
                <w:szCs w:val="20"/>
              </w:rPr>
              <w:t>Two (2) Year Statute of Limitations for Refunds:</w:t>
            </w:r>
            <w:r w:rsidRPr="004E0E59">
              <w:rPr>
                <w:rFonts w:ascii="Garamond" w:hAnsi="Garamond"/>
                <w:sz w:val="24"/>
                <w:szCs w:val="20"/>
              </w:rPr>
              <w:t xml:space="preserve">  Refund requests must be submitted within two (2) years from the date the overpayment was made.</w:t>
            </w:r>
          </w:p>
          <w:p w:rsidR="0051589F" w:rsidRDefault="0051589F" w:rsidP="004E0E59">
            <w:pPr>
              <w:jc w:val="both"/>
              <w:rPr>
                <w:rFonts w:ascii="Garamond" w:hAnsi="Garamond"/>
                <w:sz w:val="24"/>
                <w:szCs w:val="20"/>
              </w:rPr>
            </w:pPr>
          </w:p>
          <w:p w:rsidR="0051589F" w:rsidRDefault="0051589F" w:rsidP="004E0E59">
            <w:pPr>
              <w:jc w:val="both"/>
              <w:rPr>
                <w:rFonts w:ascii="Garamond" w:hAnsi="Garamond"/>
                <w:sz w:val="24"/>
                <w:szCs w:val="20"/>
              </w:rPr>
            </w:pPr>
            <w:r w:rsidRPr="0051589F">
              <w:rPr>
                <w:rFonts w:ascii="Garamond" w:hAnsi="Garamond"/>
                <w:b/>
                <w:sz w:val="24"/>
                <w:szCs w:val="20"/>
              </w:rPr>
              <w:t>County Occupational License Taxes and Fees:</w:t>
            </w:r>
            <w:r>
              <w:rPr>
                <w:rFonts w:ascii="Garamond" w:hAnsi="Garamond"/>
                <w:sz w:val="24"/>
                <w:szCs w:val="20"/>
              </w:rPr>
              <w:t xml:space="preserve"> Payment of City taxes in no way waives any responsibility of the taxpayer of their responsibility of paying respective County, State or Federal Taxes.  Similarly, payment of Federal, State and/or County taxes does not waive Taxpayer’s responsibility to submit City of Dayton Business Returns and make payment of taxes owed.</w:t>
            </w:r>
          </w:p>
          <w:p w:rsidR="004E0E59" w:rsidRDefault="004E0E59" w:rsidP="004E0E59">
            <w:pPr>
              <w:rPr>
                <w:rFonts w:ascii="Garamond" w:hAnsi="Garamond"/>
                <w:sz w:val="24"/>
                <w:szCs w:val="20"/>
              </w:rPr>
            </w:pPr>
          </w:p>
          <w:p w:rsidR="004E0E59" w:rsidRDefault="004E0E59" w:rsidP="004E0E59">
            <w:pPr>
              <w:rPr>
                <w:rFonts w:ascii="Garamond" w:hAnsi="Garamond"/>
                <w:sz w:val="24"/>
                <w:szCs w:val="20"/>
              </w:rPr>
            </w:pPr>
          </w:p>
          <w:p w:rsidR="004E0E59" w:rsidRPr="00E7778A" w:rsidRDefault="004E0E59" w:rsidP="004E0E59">
            <w:pPr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415F5F" w:rsidRPr="00242EBF" w:rsidRDefault="00415F5F" w:rsidP="00242EBF">
      <w:pPr>
        <w:rPr>
          <w:rFonts w:ascii="Garamond" w:hAnsi="Garamond"/>
          <w:sz w:val="2"/>
        </w:rPr>
      </w:pPr>
    </w:p>
    <w:sectPr w:rsidR="00415F5F" w:rsidRPr="00242EBF" w:rsidSect="00D62F18">
      <w:pgSz w:w="12240" w:h="15840"/>
      <w:pgMar w:top="432" w:right="576" w:bottom="72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FE" w:rsidRDefault="005206FE">
      <w:r>
        <w:separator/>
      </w:r>
    </w:p>
  </w:endnote>
  <w:endnote w:type="continuationSeparator" w:id="0">
    <w:p w:rsidR="005206FE" w:rsidRDefault="0052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FE" w:rsidRDefault="005206FE">
      <w:r>
        <w:separator/>
      </w:r>
    </w:p>
  </w:footnote>
  <w:footnote w:type="continuationSeparator" w:id="0">
    <w:p w:rsidR="005206FE" w:rsidRDefault="00520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B9"/>
    <w:rsid w:val="000077BD"/>
    <w:rsid w:val="000176EB"/>
    <w:rsid w:val="00017DD1"/>
    <w:rsid w:val="00021BCA"/>
    <w:rsid w:val="000332AD"/>
    <w:rsid w:val="0003608D"/>
    <w:rsid w:val="00037A37"/>
    <w:rsid w:val="000A43A5"/>
    <w:rsid w:val="000C0676"/>
    <w:rsid w:val="000C3395"/>
    <w:rsid w:val="000D24C3"/>
    <w:rsid w:val="000E13C6"/>
    <w:rsid w:val="000E1617"/>
    <w:rsid w:val="000F0053"/>
    <w:rsid w:val="000F37B8"/>
    <w:rsid w:val="000F59F0"/>
    <w:rsid w:val="00103185"/>
    <w:rsid w:val="0011649E"/>
    <w:rsid w:val="0012051F"/>
    <w:rsid w:val="001352B9"/>
    <w:rsid w:val="00152052"/>
    <w:rsid w:val="001623B6"/>
    <w:rsid w:val="0016303A"/>
    <w:rsid w:val="00182822"/>
    <w:rsid w:val="00190F40"/>
    <w:rsid w:val="001A731A"/>
    <w:rsid w:val="001B2A2D"/>
    <w:rsid w:val="001E14EC"/>
    <w:rsid w:val="001E57FE"/>
    <w:rsid w:val="001E7CD1"/>
    <w:rsid w:val="001F7A95"/>
    <w:rsid w:val="00212199"/>
    <w:rsid w:val="00240AF1"/>
    <w:rsid w:val="00242EBF"/>
    <w:rsid w:val="0024648C"/>
    <w:rsid w:val="002559F9"/>
    <w:rsid w:val="002602F0"/>
    <w:rsid w:val="00274C6F"/>
    <w:rsid w:val="002773F8"/>
    <w:rsid w:val="002A091E"/>
    <w:rsid w:val="002A5296"/>
    <w:rsid w:val="002B7DDB"/>
    <w:rsid w:val="002C0936"/>
    <w:rsid w:val="002C3CA8"/>
    <w:rsid w:val="002D54B1"/>
    <w:rsid w:val="003016B6"/>
    <w:rsid w:val="003122BD"/>
    <w:rsid w:val="00347296"/>
    <w:rsid w:val="00366037"/>
    <w:rsid w:val="00384215"/>
    <w:rsid w:val="00386039"/>
    <w:rsid w:val="003B7395"/>
    <w:rsid w:val="003D5296"/>
    <w:rsid w:val="003E0E46"/>
    <w:rsid w:val="003E4C9D"/>
    <w:rsid w:val="003F2693"/>
    <w:rsid w:val="00415F5F"/>
    <w:rsid w:val="0042038C"/>
    <w:rsid w:val="004374E6"/>
    <w:rsid w:val="00456F9E"/>
    <w:rsid w:val="00461DCB"/>
    <w:rsid w:val="00491A66"/>
    <w:rsid w:val="004C0E71"/>
    <w:rsid w:val="004C384C"/>
    <w:rsid w:val="004D0F20"/>
    <w:rsid w:val="004D64E0"/>
    <w:rsid w:val="004E0E59"/>
    <w:rsid w:val="004F4305"/>
    <w:rsid w:val="00500C06"/>
    <w:rsid w:val="0051589F"/>
    <w:rsid w:val="005206FE"/>
    <w:rsid w:val="00532E88"/>
    <w:rsid w:val="005360D4"/>
    <w:rsid w:val="00544F9C"/>
    <w:rsid w:val="0054754E"/>
    <w:rsid w:val="0056338C"/>
    <w:rsid w:val="00570CEA"/>
    <w:rsid w:val="00580B81"/>
    <w:rsid w:val="005D04B9"/>
    <w:rsid w:val="005D4280"/>
    <w:rsid w:val="005E6B1B"/>
    <w:rsid w:val="00614401"/>
    <w:rsid w:val="00654915"/>
    <w:rsid w:val="006638AD"/>
    <w:rsid w:val="00671993"/>
    <w:rsid w:val="00682713"/>
    <w:rsid w:val="006A4E70"/>
    <w:rsid w:val="006D1406"/>
    <w:rsid w:val="00722DE8"/>
    <w:rsid w:val="007338AC"/>
    <w:rsid w:val="00733AC6"/>
    <w:rsid w:val="007344B3"/>
    <w:rsid w:val="00747382"/>
    <w:rsid w:val="0076738D"/>
    <w:rsid w:val="00770EEA"/>
    <w:rsid w:val="00776D79"/>
    <w:rsid w:val="007924FA"/>
    <w:rsid w:val="00795891"/>
    <w:rsid w:val="00795DCA"/>
    <w:rsid w:val="007B0A59"/>
    <w:rsid w:val="007D7B6D"/>
    <w:rsid w:val="007E3D81"/>
    <w:rsid w:val="007F1DE2"/>
    <w:rsid w:val="00815731"/>
    <w:rsid w:val="00837F7E"/>
    <w:rsid w:val="00854F7E"/>
    <w:rsid w:val="008658E6"/>
    <w:rsid w:val="00872FB6"/>
    <w:rsid w:val="00884CA6"/>
    <w:rsid w:val="00884E5C"/>
    <w:rsid w:val="00887861"/>
    <w:rsid w:val="008D298C"/>
    <w:rsid w:val="00932D09"/>
    <w:rsid w:val="00955BB7"/>
    <w:rsid w:val="009622B2"/>
    <w:rsid w:val="00962C84"/>
    <w:rsid w:val="00976AB0"/>
    <w:rsid w:val="00990517"/>
    <w:rsid w:val="00996936"/>
    <w:rsid w:val="009B4093"/>
    <w:rsid w:val="009F58BB"/>
    <w:rsid w:val="009F7A03"/>
    <w:rsid w:val="00A16163"/>
    <w:rsid w:val="00A34156"/>
    <w:rsid w:val="00A41E64"/>
    <w:rsid w:val="00A4373B"/>
    <w:rsid w:val="00A71610"/>
    <w:rsid w:val="00AA4EAC"/>
    <w:rsid w:val="00AB2EBC"/>
    <w:rsid w:val="00AD7478"/>
    <w:rsid w:val="00AE1F72"/>
    <w:rsid w:val="00B00999"/>
    <w:rsid w:val="00B037F5"/>
    <w:rsid w:val="00B04903"/>
    <w:rsid w:val="00B12708"/>
    <w:rsid w:val="00B41C69"/>
    <w:rsid w:val="00B531C4"/>
    <w:rsid w:val="00B81CC8"/>
    <w:rsid w:val="00B93506"/>
    <w:rsid w:val="00B96D9F"/>
    <w:rsid w:val="00BB0018"/>
    <w:rsid w:val="00BB1ACB"/>
    <w:rsid w:val="00BD398D"/>
    <w:rsid w:val="00BE09D6"/>
    <w:rsid w:val="00BE4E32"/>
    <w:rsid w:val="00C10FF1"/>
    <w:rsid w:val="00C30E55"/>
    <w:rsid w:val="00C46BAA"/>
    <w:rsid w:val="00C5090B"/>
    <w:rsid w:val="00C63324"/>
    <w:rsid w:val="00C81188"/>
    <w:rsid w:val="00C8368E"/>
    <w:rsid w:val="00C83F04"/>
    <w:rsid w:val="00C9285A"/>
    <w:rsid w:val="00CB25BA"/>
    <w:rsid w:val="00CB5E53"/>
    <w:rsid w:val="00CC6A22"/>
    <w:rsid w:val="00CC7CB7"/>
    <w:rsid w:val="00CD3B96"/>
    <w:rsid w:val="00CD4405"/>
    <w:rsid w:val="00D02133"/>
    <w:rsid w:val="00D057C6"/>
    <w:rsid w:val="00D15A93"/>
    <w:rsid w:val="00D200DF"/>
    <w:rsid w:val="00D21FCD"/>
    <w:rsid w:val="00D2253E"/>
    <w:rsid w:val="00D34CBE"/>
    <w:rsid w:val="00D42328"/>
    <w:rsid w:val="00D45B7C"/>
    <w:rsid w:val="00D461ED"/>
    <w:rsid w:val="00D53D61"/>
    <w:rsid w:val="00D62F18"/>
    <w:rsid w:val="00D66A94"/>
    <w:rsid w:val="00D8107F"/>
    <w:rsid w:val="00DA5F94"/>
    <w:rsid w:val="00DC48C6"/>
    <w:rsid w:val="00DC6823"/>
    <w:rsid w:val="00DD24AB"/>
    <w:rsid w:val="00DF1BA0"/>
    <w:rsid w:val="00E112B4"/>
    <w:rsid w:val="00E33DC8"/>
    <w:rsid w:val="00E441D9"/>
    <w:rsid w:val="00E52F13"/>
    <w:rsid w:val="00E630EB"/>
    <w:rsid w:val="00E64364"/>
    <w:rsid w:val="00E646B0"/>
    <w:rsid w:val="00E75AE6"/>
    <w:rsid w:val="00E77532"/>
    <w:rsid w:val="00E7778A"/>
    <w:rsid w:val="00E80215"/>
    <w:rsid w:val="00E83451"/>
    <w:rsid w:val="00E936D3"/>
    <w:rsid w:val="00EB009F"/>
    <w:rsid w:val="00EB52A5"/>
    <w:rsid w:val="00EC655E"/>
    <w:rsid w:val="00ED6690"/>
    <w:rsid w:val="00ED7E6C"/>
    <w:rsid w:val="00EE33CA"/>
    <w:rsid w:val="00EF2574"/>
    <w:rsid w:val="00F04B9B"/>
    <w:rsid w:val="00F0626A"/>
    <w:rsid w:val="00F149CC"/>
    <w:rsid w:val="00F46364"/>
    <w:rsid w:val="00F54497"/>
    <w:rsid w:val="00F74AAD"/>
    <w:rsid w:val="00FB5CC0"/>
    <w:rsid w:val="00FB7CD3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5BB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FD4BCB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4B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55B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2</TotalTime>
  <Pages>1</Pages>
  <Words>507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Tom Edge</dc:creator>
  <cp:lastModifiedBy>tmyers</cp:lastModifiedBy>
  <cp:revision>3</cp:revision>
  <cp:lastPrinted>2015-05-13T13:47:00Z</cp:lastPrinted>
  <dcterms:created xsi:type="dcterms:W3CDTF">2018-01-03T14:52:00Z</dcterms:created>
  <dcterms:modified xsi:type="dcterms:W3CDTF">2018-01-05T15:49:00Z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